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70" w:rsidRPr="005E4383" w:rsidRDefault="00D02170" w:rsidP="00D02170">
      <w:pPr>
        <w:jc w:val="center"/>
        <w:rPr>
          <w:b/>
          <w:sz w:val="28"/>
          <w:szCs w:val="28"/>
          <w:lang w:val="uk-UA"/>
        </w:rPr>
      </w:pPr>
      <w:r w:rsidRPr="005E4383">
        <w:rPr>
          <w:b/>
          <w:sz w:val="28"/>
          <w:szCs w:val="28"/>
          <w:lang w:val="uk-UA"/>
        </w:rPr>
        <w:t>Звіт про виконання у 2015 році «Програми оновлення та розвитку Менського зоопарку загальнодержавного значення на 2011-2015 роки»</w:t>
      </w:r>
    </w:p>
    <w:p w:rsidR="00D02170" w:rsidRPr="005E4383" w:rsidRDefault="00D02170" w:rsidP="00D02170">
      <w:pPr>
        <w:rPr>
          <w:sz w:val="28"/>
          <w:szCs w:val="28"/>
          <w:lang w:val="uk-UA"/>
        </w:rPr>
      </w:pPr>
    </w:p>
    <w:p w:rsidR="00D02170" w:rsidRPr="005E4383" w:rsidRDefault="00D02170" w:rsidP="00D02170">
      <w:pPr>
        <w:ind w:firstLine="709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30 грудня 2010 року рішенням другої сесії Чернігівської обласної ради шостого скликання затверджено Програму оновлення та розвитку Менського зоопарку загальнодержавного значення на 2011-2015 роки.</w:t>
      </w:r>
    </w:p>
    <w:p w:rsidR="00D02170" w:rsidRPr="005E4383" w:rsidRDefault="00D02170" w:rsidP="00D02170">
      <w:pPr>
        <w:ind w:firstLine="709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 xml:space="preserve">Метою Програми є збереження Менського зоологічного парку загальнодержавного  значення, як унікального об’єкта, природоохоронного масово-освітнього значення та улюбленого місця відпочинку мешканців області. </w:t>
      </w:r>
    </w:p>
    <w:p w:rsidR="00D02170" w:rsidRPr="005E4383" w:rsidRDefault="00D02170" w:rsidP="00D02170">
      <w:pPr>
        <w:ind w:firstLine="709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Основними завданнями Програми стали:</w:t>
      </w:r>
    </w:p>
    <w:p w:rsidR="00D02170" w:rsidRPr="005E4383" w:rsidRDefault="00D02170" w:rsidP="00D0217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перегляд та вдосконалення механізмів контролю за утриманням тварин відповідно до фізіологічних та біологічних особливостей;</w:t>
      </w:r>
    </w:p>
    <w:p w:rsidR="00D02170" w:rsidRPr="005E4383" w:rsidRDefault="00D02170" w:rsidP="00D0217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проведення капітального ремонту, реконструкції та капітального будівництва експозицій та місць для постійного утримання тварин;</w:t>
      </w:r>
    </w:p>
    <w:p w:rsidR="00D02170" w:rsidRPr="005E4383" w:rsidRDefault="00D02170" w:rsidP="00D0217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 xml:space="preserve">забезпечення раціонального та ефективного використання коштів, впровадження заходів з </w:t>
      </w:r>
      <w:proofErr w:type="spellStart"/>
      <w:r w:rsidRPr="005E4383">
        <w:rPr>
          <w:sz w:val="28"/>
          <w:szCs w:val="28"/>
          <w:lang w:val="uk-UA"/>
        </w:rPr>
        <w:t>ресурсо-</w:t>
      </w:r>
      <w:proofErr w:type="spellEnd"/>
      <w:r w:rsidRPr="005E4383">
        <w:rPr>
          <w:sz w:val="28"/>
          <w:szCs w:val="28"/>
          <w:lang w:val="uk-UA"/>
        </w:rPr>
        <w:t xml:space="preserve"> та енергозбереження;</w:t>
      </w:r>
    </w:p>
    <w:p w:rsidR="00D02170" w:rsidRPr="005E4383" w:rsidRDefault="00D02170" w:rsidP="00D02170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інвентаризація матеріально-технічної бази, колекції для розробки поетапного плану покращення умов утримання тварин.</w:t>
      </w:r>
    </w:p>
    <w:p w:rsidR="00D02170" w:rsidRPr="005E4383" w:rsidRDefault="00D02170" w:rsidP="00D02170">
      <w:pPr>
        <w:ind w:firstLine="567"/>
        <w:rPr>
          <w:bCs/>
          <w:iCs/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 xml:space="preserve">Фінансування Програми передбачалося здійснити за рахунок коштів обласного бюджету на галузь «культура» та за рахунок інших джерел, не заборонених законодавством. </w:t>
      </w:r>
      <w:r w:rsidRPr="005E4383">
        <w:rPr>
          <w:bCs/>
          <w:iCs/>
          <w:sz w:val="28"/>
          <w:szCs w:val="28"/>
          <w:lang w:val="uk-UA"/>
        </w:rPr>
        <w:t>Відповідальним виконавцем та розпорядником коштів за реалізацію Програми відповідно до Паспорту програми є Департамент культури і туризму, національностей та релігій облдержадміністрації.</w:t>
      </w:r>
    </w:p>
    <w:p w:rsidR="00D02170" w:rsidRPr="005E4383" w:rsidRDefault="00D02170" w:rsidP="00D02170">
      <w:pPr>
        <w:ind w:firstLine="709"/>
        <w:rPr>
          <w:sz w:val="28"/>
          <w:szCs w:val="28"/>
          <w:lang w:val="uk-UA"/>
        </w:rPr>
      </w:pPr>
      <w:r w:rsidRPr="005E4383">
        <w:rPr>
          <w:bCs/>
          <w:iCs/>
          <w:sz w:val="28"/>
          <w:szCs w:val="28"/>
          <w:lang w:val="uk-UA"/>
        </w:rPr>
        <w:t>У 2015 році з обласного бюджету планувалось залучити на виконання Програми кошти в обсязі 3736,215 тис. грн.. На реалізацію заходів у 2015 році було виділено – 3735,85 тис. грн..</w:t>
      </w:r>
    </w:p>
    <w:p w:rsidR="00D02170" w:rsidRPr="005E4383" w:rsidRDefault="00D02170" w:rsidP="00D02170">
      <w:pPr>
        <w:ind w:firstLine="708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 xml:space="preserve">Протягом  2015 року проведена значна  робота щодо зміцнення матеріально-технічної  бази  та покращення умов утримання тварин. За кошти обласного бюджету здійснено капітальний ремонт вольєрів хижих тварин, капітальний ремонт огорожі території зоопарку та завершені роботи по будівництву </w:t>
      </w:r>
      <w:proofErr w:type="spellStart"/>
      <w:r w:rsidRPr="005E4383">
        <w:rPr>
          <w:sz w:val="28"/>
          <w:szCs w:val="28"/>
          <w:lang w:val="uk-UA"/>
        </w:rPr>
        <w:t>автогаражів</w:t>
      </w:r>
      <w:proofErr w:type="spellEnd"/>
      <w:r w:rsidRPr="005E4383">
        <w:rPr>
          <w:sz w:val="28"/>
          <w:szCs w:val="28"/>
          <w:lang w:val="uk-UA"/>
        </w:rPr>
        <w:t xml:space="preserve"> зі складами для зберігання кормів на загальну суму  717,7 тис гривень. Спонсорська та благодійна допомога зоопарку у 2015 році надана у сумі 27,470 тис. гривень.</w:t>
      </w:r>
    </w:p>
    <w:p w:rsidR="00D02170" w:rsidRPr="005E4383" w:rsidRDefault="00D02170" w:rsidP="00D02170">
      <w:pPr>
        <w:ind w:firstLine="708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 xml:space="preserve">Кількість відвідувачів зоопарку у 2015 році становила 41,5 тис. чоловік, з них дітей - 26,2 тисячі. </w:t>
      </w:r>
    </w:p>
    <w:p w:rsidR="00D02170" w:rsidRPr="005E4383" w:rsidRDefault="00D02170" w:rsidP="00D02170">
      <w:pPr>
        <w:ind w:firstLine="708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Рішенням  Чернігівської обласної ради від 18.12.2015 року  затверджена Програма оновлення та розвитку Менського зоопарку загальнодержавного значення на 2016-2020 роки.</w:t>
      </w:r>
    </w:p>
    <w:p w:rsidR="00D02170" w:rsidRPr="005E4383" w:rsidRDefault="00D02170" w:rsidP="00D02170">
      <w:pPr>
        <w:pStyle w:val="2"/>
        <w:tabs>
          <w:tab w:val="left" w:pos="180"/>
          <w:tab w:val="left" w:pos="720"/>
        </w:tabs>
        <w:spacing w:after="0" w:line="240" w:lineRule="auto"/>
        <w:ind w:right="-5" w:firstLine="709"/>
        <w:jc w:val="both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Виконання заходів Програми оновлення та розвитку Менського зоопарку загальнодержавного значення на 2011-2015 роки</w:t>
      </w:r>
      <w:r w:rsidRPr="005E4383">
        <w:rPr>
          <w:bCs/>
          <w:iCs/>
          <w:sz w:val="28"/>
          <w:szCs w:val="28"/>
          <w:lang w:val="uk-UA"/>
        </w:rPr>
        <w:t xml:space="preserve"> </w:t>
      </w:r>
      <w:r w:rsidRPr="005E4383">
        <w:rPr>
          <w:sz w:val="28"/>
          <w:szCs w:val="28"/>
          <w:lang w:val="uk-UA"/>
        </w:rPr>
        <w:t>відповідно до додатку напрямів діяльності та заходів даної Програми (додається).</w:t>
      </w:r>
    </w:p>
    <w:p w:rsidR="00D02170" w:rsidRPr="005E4383" w:rsidRDefault="00D02170" w:rsidP="00D02170">
      <w:pPr>
        <w:ind w:firstLine="720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t>Додаток на 1 арк.</w:t>
      </w:r>
    </w:p>
    <w:p w:rsidR="00D02170" w:rsidRPr="005E4383" w:rsidRDefault="00D02170" w:rsidP="00D02170">
      <w:pPr>
        <w:pStyle w:val="2"/>
        <w:tabs>
          <w:tab w:val="left" w:pos="180"/>
          <w:tab w:val="left" w:pos="720"/>
        </w:tabs>
        <w:spacing w:after="0" w:line="240" w:lineRule="auto"/>
        <w:ind w:right="-5" w:firstLine="709"/>
        <w:jc w:val="both"/>
        <w:rPr>
          <w:sz w:val="28"/>
          <w:szCs w:val="28"/>
          <w:lang w:val="uk-UA"/>
        </w:rPr>
      </w:pPr>
    </w:p>
    <w:p w:rsidR="00D02170" w:rsidRPr="005E4383" w:rsidRDefault="00D02170">
      <w:pPr>
        <w:rPr>
          <w:lang w:val="uk-UA"/>
        </w:rPr>
        <w:sectPr w:rsidR="00D02170" w:rsidRPr="005E4383" w:rsidSect="009561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2170" w:rsidRPr="005E4383" w:rsidRDefault="00D02170" w:rsidP="00D02170">
      <w:pPr>
        <w:jc w:val="right"/>
        <w:rPr>
          <w:sz w:val="28"/>
          <w:szCs w:val="28"/>
          <w:lang w:val="uk-UA"/>
        </w:rPr>
      </w:pPr>
      <w:r w:rsidRPr="005E4383">
        <w:rPr>
          <w:sz w:val="28"/>
          <w:szCs w:val="28"/>
          <w:lang w:val="uk-UA"/>
        </w:rPr>
        <w:lastRenderedPageBreak/>
        <w:t xml:space="preserve">Додаток </w:t>
      </w:r>
    </w:p>
    <w:p w:rsidR="00D02170" w:rsidRPr="005E4383" w:rsidRDefault="00D02170" w:rsidP="00D02170">
      <w:pPr>
        <w:jc w:val="center"/>
        <w:rPr>
          <w:b/>
          <w:sz w:val="28"/>
          <w:szCs w:val="28"/>
          <w:lang w:val="uk-UA"/>
        </w:rPr>
      </w:pPr>
      <w:r w:rsidRPr="005E4383">
        <w:rPr>
          <w:b/>
          <w:sz w:val="28"/>
          <w:szCs w:val="28"/>
          <w:lang w:val="uk-UA"/>
        </w:rPr>
        <w:t xml:space="preserve">Звіт про виконання заходів  у 2015 році </w:t>
      </w:r>
    </w:p>
    <w:p w:rsidR="00D02170" w:rsidRPr="005E4383" w:rsidRDefault="00D02170" w:rsidP="00D02170">
      <w:pPr>
        <w:jc w:val="center"/>
        <w:rPr>
          <w:b/>
          <w:sz w:val="28"/>
          <w:szCs w:val="28"/>
          <w:lang w:val="uk-UA"/>
        </w:rPr>
      </w:pPr>
      <w:r w:rsidRPr="005E4383">
        <w:rPr>
          <w:b/>
          <w:sz w:val="28"/>
          <w:szCs w:val="28"/>
          <w:lang w:val="uk-UA"/>
        </w:rPr>
        <w:t>«Програми оновлення та розвитку Менського зоопарку загальнодержавного значення на 2011-2015 роки»</w:t>
      </w:r>
    </w:p>
    <w:p w:rsidR="00D02170" w:rsidRPr="005E4383" w:rsidRDefault="00D02170" w:rsidP="00D02170">
      <w:pPr>
        <w:jc w:val="center"/>
        <w:rPr>
          <w:b/>
          <w:sz w:val="28"/>
          <w:szCs w:val="28"/>
          <w:lang w:val="uk-UA"/>
        </w:rPr>
      </w:pPr>
    </w:p>
    <w:p w:rsidR="00D02170" w:rsidRPr="005E4383" w:rsidRDefault="00D02170" w:rsidP="00D02170">
      <w:pPr>
        <w:jc w:val="center"/>
        <w:rPr>
          <w:b/>
          <w:sz w:val="28"/>
          <w:szCs w:val="28"/>
          <w:lang w:val="uk-UA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0"/>
        <w:gridCol w:w="5331"/>
        <w:gridCol w:w="1275"/>
        <w:gridCol w:w="5274"/>
      </w:tblGrid>
      <w:tr w:rsidR="00D02170" w:rsidRPr="005E4383" w:rsidTr="00433774">
        <w:tc>
          <w:tcPr>
            <w:tcW w:w="540" w:type="dxa"/>
          </w:tcPr>
          <w:p w:rsidR="00D02170" w:rsidRPr="005E4383" w:rsidRDefault="00D02170" w:rsidP="00433774">
            <w:pPr>
              <w:jc w:val="center"/>
              <w:rPr>
                <w:b/>
                <w:lang w:val="uk-UA"/>
              </w:rPr>
            </w:pPr>
            <w:r w:rsidRPr="005E4383">
              <w:rPr>
                <w:b/>
                <w:lang w:val="uk-UA"/>
              </w:rPr>
              <w:t>№</w:t>
            </w:r>
          </w:p>
        </w:tc>
        <w:tc>
          <w:tcPr>
            <w:tcW w:w="3600" w:type="dxa"/>
          </w:tcPr>
          <w:p w:rsidR="00D02170" w:rsidRPr="005E4383" w:rsidRDefault="00D02170" w:rsidP="00433774">
            <w:pPr>
              <w:jc w:val="center"/>
              <w:rPr>
                <w:b/>
                <w:lang w:val="uk-UA"/>
              </w:rPr>
            </w:pPr>
            <w:r w:rsidRPr="005E4383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5331" w:type="dxa"/>
          </w:tcPr>
          <w:p w:rsidR="00D02170" w:rsidRPr="005E4383" w:rsidRDefault="00D02170" w:rsidP="00433774">
            <w:pPr>
              <w:jc w:val="center"/>
              <w:rPr>
                <w:b/>
                <w:lang w:val="uk-UA"/>
              </w:rPr>
            </w:pPr>
            <w:r w:rsidRPr="005E4383">
              <w:rPr>
                <w:b/>
                <w:lang w:val="uk-UA"/>
              </w:rPr>
              <w:t>Перелік заходів Програми та строки виконання</w:t>
            </w:r>
          </w:p>
        </w:tc>
        <w:tc>
          <w:tcPr>
            <w:tcW w:w="1275" w:type="dxa"/>
          </w:tcPr>
          <w:p w:rsidR="00D02170" w:rsidRPr="005E4383" w:rsidRDefault="00D02170" w:rsidP="00433774">
            <w:pPr>
              <w:jc w:val="center"/>
              <w:rPr>
                <w:b/>
                <w:lang w:val="uk-UA"/>
              </w:rPr>
            </w:pPr>
            <w:r w:rsidRPr="005E4383">
              <w:rPr>
                <w:b/>
                <w:lang w:val="uk-UA"/>
              </w:rPr>
              <w:t>Виділено коштів</w:t>
            </w:r>
          </w:p>
        </w:tc>
        <w:tc>
          <w:tcPr>
            <w:tcW w:w="5274" w:type="dxa"/>
          </w:tcPr>
          <w:p w:rsidR="00D02170" w:rsidRPr="005E4383" w:rsidRDefault="00D02170" w:rsidP="00433774">
            <w:pPr>
              <w:jc w:val="center"/>
              <w:rPr>
                <w:b/>
                <w:lang w:val="uk-UA"/>
              </w:rPr>
            </w:pPr>
            <w:r w:rsidRPr="005E4383">
              <w:rPr>
                <w:b/>
                <w:lang w:val="uk-UA"/>
              </w:rPr>
              <w:t>Виконання/досягнуті показники</w:t>
            </w:r>
          </w:p>
        </w:tc>
      </w:tr>
      <w:tr w:rsidR="00D02170" w:rsidRPr="005E4383" w:rsidTr="00433774">
        <w:tc>
          <w:tcPr>
            <w:tcW w:w="540" w:type="dxa"/>
          </w:tcPr>
          <w:p w:rsidR="00D02170" w:rsidRPr="005E4383" w:rsidRDefault="00D02170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E4383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00" w:type="dxa"/>
          </w:tcPr>
          <w:p w:rsidR="00D02170" w:rsidRPr="005E4383" w:rsidRDefault="00D02170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E4383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331" w:type="dxa"/>
          </w:tcPr>
          <w:p w:rsidR="00D02170" w:rsidRPr="005E4383" w:rsidRDefault="00D02170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E4383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</w:tcPr>
          <w:p w:rsidR="00D02170" w:rsidRPr="005E4383" w:rsidRDefault="00D02170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E4383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274" w:type="dxa"/>
          </w:tcPr>
          <w:p w:rsidR="00D02170" w:rsidRPr="005E4383" w:rsidRDefault="00D02170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E4383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D02170" w:rsidRPr="005E4383" w:rsidTr="00433774">
        <w:tc>
          <w:tcPr>
            <w:tcW w:w="540" w:type="dxa"/>
          </w:tcPr>
          <w:p w:rsidR="00D02170" w:rsidRPr="005E4383" w:rsidRDefault="00D02170" w:rsidP="00433774">
            <w:pPr>
              <w:jc w:val="center"/>
              <w:rPr>
                <w:b/>
                <w:lang w:val="uk-UA"/>
              </w:rPr>
            </w:pPr>
            <w:r w:rsidRPr="005E4383">
              <w:rPr>
                <w:b/>
                <w:lang w:val="uk-UA"/>
              </w:rPr>
              <w:t>1.</w:t>
            </w:r>
          </w:p>
        </w:tc>
        <w:tc>
          <w:tcPr>
            <w:tcW w:w="3600" w:type="dxa"/>
          </w:tcPr>
          <w:p w:rsidR="00D02170" w:rsidRPr="005E4383" w:rsidRDefault="00D02170" w:rsidP="00433774">
            <w:pPr>
              <w:rPr>
                <w:lang w:val="uk-UA"/>
              </w:rPr>
            </w:pPr>
            <w:r w:rsidRPr="005E4383">
              <w:rPr>
                <w:lang w:val="uk-UA"/>
              </w:rPr>
              <w:t xml:space="preserve">Покращення матеріально-технічної бази, поповнення колекції тварин і проведення інформаційно-просвітницьких заходів.           </w:t>
            </w:r>
          </w:p>
          <w:p w:rsidR="00D02170" w:rsidRPr="005E4383" w:rsidRDefault="00D02170" w:rsidP="00433774">
            <w:pPr>
              <w:rPr>
                <w:lang w:val="uk-UA"/>
              </w:rPr>
            </w:pPr>
            <w:r w:rsidRPr="005E4383">
              <w:rPr>
                <w:lang w:val="uk-UA"/>
              </w:rPr>
              <w:t xml:space="preserve"> Забезпечення виплати заробітної плати працівникам, раціону харчування тварин та оплати за спожиті енергоносії. </w:t>
            </w:r>
          </w:p>
        </w:tc>
        <w:tc>
          <w:tcPr>
            <w:tcW w:w="5331" w:type="dxa"/>
          </w:tcPr>
          <w:p w:rsidR="00D02170" w:rsidRPr="005E4383" w:rsidRDefault="00D02170" w:rsidP="00433774">
            <w:pPr>
              <w:rPr>
                <w:lang w:val="uk-UA"/>
              </w:rPr>
            </w:pPr>
            <w:r w:rsidRPr="005E4383">
              <w:rPr>
                <w:lang w:val="uk-UA"/>
              </w:rPr>
              <w:t>1.Капітальний ремонт вольєрів відділу хижих тварин.</w:t>
            </w:r>
          </w:p>
          <w:p w:rsidR="00D02170" w:rsidRPr="005E4383" w:rsidRDefault="00D02170" w:rsidP="00433774">
            <w:pPr>
              <w:rPr>
                <w:lang w:val="uk-UA"/>
              </w:rPr>
            </w:pPr>
            <w:r w:rsidRPr="005E4383">
              <w:rPr>
                <w:lang w:val="uk-UA"/>
              </w:rPr>
              <w:t>2. Капітальний ремонт асфальтобетонної доріжки з улаштуванням бордюру.</w:t>
            </w:r>
          </w:p>
          <w:p w:rsidR="00D02170" w:rsidRPr="005E4383" w:rsidRDefault="00D02170" w:rsidP="00433774">
            <w:pPr>
              <w:rPr>
                <w:lang w:val="uk-UA"/>
              </w:rPr>
            </w:pPr>
            <w:r w:rsidRPr="005E4383">
              <w:rPr>
                <w:lang w:val="uk-UA"/>
              </w:rPr>
              <w:t>3. Придбання трактора з косаркою.</w:t>
            </w:r>
          </w:p>
          <w:p w:rsidR="00D02170" w:rsidRPr="005E4383" w:rsidRDefault="00D02170" w:rsidP="00433774">
            <w:pPr>
              <w:rPr>
                <w:lang w:val="uk-UA"/>
              </w:rPr>
            </w:pPr>
            <w:r w:rsidRPr="005E4383">
              <w:rPr>
                <w:lang w:val="uk-UA"/>
              </w:rPr>
              <w:t xml:space="preserve">4.Заміна огорожі території зоопарку (біля приватного сектору) на </w:t>
            </w:r>
            <w:proofErr w:type="spellStart"/>
            <w:r w:rsidRPr="005E4383">
              <w:rPr>
                <w:lang w:val="uk-UA"/>
              </w:rPr>
              <w:t>металопрофільну</w:t>
            </w:r>
            <w:proofErr w:type="spellEnd"/>
            <w:r w:rsidRPr="005E4383">
              <w:rPr>
                <w:lang w:val="uk-UA"/>
              </w:rPr>
              <w:t>.</w:t>
            </w:r>
          </w:p>
          <w:p w:rsidR="00D02170" w:rsidRPr="005E4383" w:rsidRDefault="00D02170" w:rsidP="00433774">
            <w:pPr>
              <w:rPr>
                <w:lang w:val="uk-UA"/>
              </w:rPr>
            </w:pPr>
            <w:r w:rsidRPr="005E4383">
              <w:rPr>
                <w:lang w:val="uk-UA"/>
              </w:rPr>
              <w:t>5. Придбання котла опалювання в тераріум</w:t>
            </w:r>
            <w:r w:rsidR="004F6D86"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02170" w:rsidRPr="005E4383" w:rsidRDefault="00D02170" w:rsidP="00433774">
            <w:pPr>
              <w:jc w:val="center"/>
              <w:rPr>
                <w:lang w:val="uk-UA"/>
              </w:rPr>
            </w:pPr>
            <w:r w:rsidRPr="005E4383">
              <w:rPr>
                <w:lang w:val="uk-UA"/>
              </w:rPr>
              <w:t>1034,304 тис. грн</w:t>
            </w:r>
          </w:p>
        </w:tc>
        <w:tc>
          <w:tcPr>
            <w:tcW w:w="5274" w:type="dxa"/>
          </w:tcPr>
          <w:p w:rsidR="00D02170" w:rsidRPr="005E4383" w:rsidRDefault="00D02170" w:rsidP="00433774">
            <w:pPr>
              <w:rPr>
                <w:lang w:val="uk-UA"/>
              </w:rPr>
            </w:pPr>
            <w:r w:rsidRPr="005E4383">
              <w:rPr>
                <w:lang w:val="uk-UA"/>
              </w:rPr>
              <w:t>Виконані наступні  роботи (будівництво, поточні та капітальні ремонти):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>ремонт вольєрів хижого відділу;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>ремонт металевих воріт господарського двору;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 xml:space="preserve">ремонт бетонного покриття водовідвідної канави у вольєрах зебри, лам, </w:t>
            </w:r>
            <w:proofErr w:type="spellStart"/>
            <w:r w:rsidRPr="005E4383">
              <w:rPr>
                <w:lang w:val="uk-UA"/>
              </w:rPr>
              <w:t>ватусі</w:t>
            </w:r>
            <w:proofErr w:type="spellEnd"/>
            <w:r w:rsidRPr="005E4383">
              <w:rPr>
                <w:lang w:val="uk-UA"/>
              </w:rPr>
              <w:t xml:space="preserve"> та кіз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>ремонт асфальтобетонних доріжок;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proofErr w:type="spellStart"/>
            <w:r w:rsidRPr="005E4383">
              <w:rPr>
                <w:lang w:val="uk-UA"/>
              </w:rPr>
              <w:t>ямочний</w:t>
            </w:r>
            <w:proofErr w:type="spellEnd"/>
            <w:r w:rsidRPr="005E4383">
              <w:rPr>
                <w:lang w:val="uk-UA"/>
              </w:rPr>
              <w:t xml:space="preserve"> ремонт асфальтобетонного покриття;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 xml:space="preserve">ремонт огорожі вольєрів куланів, зебр, зебу, </w:t>
            </w:r>
            <w:proofErr w:type="spellStart"/>
            <w:r w:rsidRPr="005E4383">
              <w:rPr>
                <w:lang w:val="uk-UA"/>
              </w:rPr>
              <w:t>ватусі</w:t>
            </w:r>
            <w:proofErr w:type="spellEnd"/>
            <w:r w:rsidRPr="005E4383">
              <w:rPr>
                <w:lang w:val="uk-UA"/>
              </w:rPr>
              <w:t xml:space="preserve"> та  лам;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>ремонт сходів та металевої огорожі басейну ведмедів;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>ремонт асфальтобетонного покриття проїздів;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>поточний ремонт будиночку для тигра;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 xml:space="preserve">улаштування </w:t>
            </w:r>
            <w:proofErr w:type="spellStart"/>
            <w:r w:rsidRPr="005E4383">
              <w:rPr>
                <w:lang w:val="uk-UA"/>
              </w:rPr>
              <w:t>топочної</w:t>
            </w:r>
            <w:proofErr w:type="spellEnd"/>
            <w:r w:rsidRPr="005E4383">
              <w:rPr>
                <w:lang w:val="uk-UA"/>
              </w:rPr>
              <w:t xml:space="preserve"> під твердопаливний котел в будівлі приматів та водоплавної птиці;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>капітальний ремонт вольєрів хижих тварин;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 xml:space="preserve">капітальний ремонт огорожі території зоопарку із </w:t>
            </w:r>
            <w:proofErr w:type="spellStart"/>
            <w:r w:rsidRPr="005E4383">
              <w:rPr>
                <w:lang w:val="uk-UA"/>
              </w:rPr>
              <w:t>профнастилу</w:t>
            </w:r>
            <w:proofErr w:type="spellEnd"/>
            <w:r w:rsidRPr="005E4383">
              <w:rPr>
                <w:lang w:val="uk-UA"/>
              </w:rPr>
              <w:t>;</w:t>
            </w:r>
          </w:p>
          <w:p w:rsidR="00D02170" w:rsidRPr="005E4383" w:rsidRDefault="00D02170" w:rsidP="00D02170">
            <w:pPr>
              <w:numPr>
                <w:ilvl w:val="0"/>
                <w:numId w:val="2"/>
              </w:numPr>
              <w:ind w:left="466"/>
              <w:rPr>
                <w:lang w:val="uk-UA"/>
              </w:rPr>
            </w:pPr>
            <w:r w:rsidRPr="005E4383">
              <w:rPr>
                <w:lang w:val="uk-UA"/>
              </w:rPr>
              <w:t>будівництво авто гаражів зі складами.</w:t>
            </w:r>
          </w:p>
          <w:p w:rsidR="00D02170" w:rsidRPr="005E4383" w:rsidRDefault="00D02170" w:rsidP="00433774">
            <w:pPr>
              <w:rPr>
                <w:lang w:val="uk-UA"/>
              </w:rPr>
            </w:pPr>
          </w:p>
        </w:tc>
      </w:tr>
    </w:tbl>
    <w:p w:rsidR="00D02170" w:rsidRPr="005E4383" w:rsidRDefault="00D02170" w:rsidP="00D02170">
      <w:pPr>
        <w:ind w:left="-540"/>
        <w:jc w:val="center"/>
        <w:rPr>
          <w:b/>
          <w:sz w:val="28"/>
          <w:szCs w:val="28"/>
          <w:lang w:val="uk-UA"/>
        </w:rPr>
      </w:pPr>
    </w:p>
    <w:p w:rsidR="009561CD" w:rsidRPr="005E4383" w:rsidRDefault="009561CD">
      <w:pPr>
        <w:rPr>
          <w:lang w:val="uk-UA"/>
        </w:rPr>
      </w:pPr>
    </w:p>
    <w:sectPr w:rsidR="009561CD" w:rsidRPr="005E4383" w:rsidSect="001637CE">
      <w:pgSz w:w="16838" w:h="11906" w:orient="landscape"/>
      <w:pgMar w:top="899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70A2"/>
    <w:multiLevelType w:val="hybridMultilevel"/>
    <w:tmpl w:val="2CAE7588"/>
    <w:lvl w:ilvl="0" w:tplc="588679D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EB2195"/>
    <w:multiLevelType w:val="hybridMultilevel"/>
    <w:tmpl w:val="B91611B2"/>
    <w:lvl w:ilvl="0" w:tplc="04C42E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170"/>
    <w:rsid w:val="00057F6E"/>
    <w:rsid w:val="004F6D86"/>
    <w:rsid w:val="005E4383"/>
    <w:rsid w:val="009561CD"/>
    <w:rsid w:val="00957B32"/>
    <w:rsid w:val="00A57918"/>
    <w:rsid w:val="00D0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2170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D02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3472</Characters>
  <Application>Microsoft Office Word</Application>
  <DocSecurity>0</DocSecurity>
  <Lines>28</Lines>
  <Paragraphs>8</Paragraphs>
  <ScaleCrop>false</ScaleCrop>
  <Company>Microsoft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Дудко Люба</dc:creator>
  <cp:lastModifiedBy>UVP_Max</cp:lastModifiedBy>
  <cp:revision>3</cp:revision>
  <dcterms:created xsi:type="dcterms:W3CDTF">2016-02-17T08:24:00Z</dcterms:created>
  <dcterms:modified xsi:type="dcterms:W3CDTF">2016-02-17T09:03:00Z</dcterms:modified>
</cp:coreProperties>
</file>